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AA381D" w14:textId="5DC96CBA" w:rsidR="00F9655A" w:rsidRPr="00A01DEE" w:rsidRDefault="00F9655A" w:rsidP="00F9655A">
      <w:pPr>
        <w:pStyle w:val="CRCoverPage"/>
        <w:tabs>
          <w:tab w:val="right" w:pos="9639"/>
        </w:tabs>
        <w:spacing w:after="0"/>
        <w:rPr>
          <w:b/>
          <w:noProof/>
          <w:sz w:val="24"/>
          <w:szCs w:val="24"/>
          <w:lang w:eastAsia="ko-KR"/>
        </w:rPr>
      </w:pPr>
      <w:bookmarkStart w:id="0" w:name="OLE_LINK2"/>
      <w:bookmarkStart w:id="1" w:name="OLE_LINK1"/>
      <w:r w:rsidRPr="004702E8">
        <w:rPr>
          <w:b/>
          <w:sz w:val="24"/>
          <w:szCs w:val="24"/>
        </w:rPr>
        <w:t>3GPP TSG RAN WG1 #102-e</w:t>
      </w:r>
      <w:r w:rsidRPr="006E473F">
        <w:rPr>
          <w:rFonts w:hint="eastAsia"/>
          <w:b/>
          <w:sz w:val="24"/>
          <w:szCs w:val="24"/>
          <w:lang w:eastAsia="ko-KR"/>
        </w:rPr>
        <w:tab/>
      </w:r>
      <w:r w:rsidR="000D2B10" w:rsidRPr="000D2B10">
        <w:rPr>
          <w:b/>
          <w:sz w:val="24"/>
          <w:szCs w:val="24"/>
          <w:lang w:eastAsia="ko-KR"/>
        </w:rPr>
        <w:t>R1-200614</w:t>
      </w:r>
      <w:r w:rsidR="000D2B10">
        <w:rPr>
          <w:b/>
          <w:sz w:val="24"/>
          <w:szCs w:val="24"/>
          <w:lang w:eastAsia="ko-KR"/>
        </w:rPr>
        <w:t>7</w:t>
      </w:r>
      <w:bookmarkStart w:id="2" w:name="_GoBack"/>
      <w:bookmarkEnd w:id="2"/>
    </w:p>
    <w:bookmarkEnd w:id="0"/>
    <w:p w14:paraId="723797EF" w14:textId="77777777" w:rsidR="007A57E2" w:rsidRPr="001F2CD1" w:rsidRDefault="00F9655A" w:rsidP="00F9655A">
      <w:pPr>
        <w:pStyle w:val="Header"/>
        <w:spacing w:after="240"/>
        <w:rPr>
          <w:rFonts w:eastAsia="Malgun Gothic"/>
          <w:noProof w:val="0"/>
          <w:color w:val="000000"/>
          <w:sz w:val="24"/>
          <w:szCs w:val="24"/>
          <w:lang w:val="en-US" w:eastAsia="ko-KR"/>
        </w:rPr>
      </w:pPr>
      <w:r w:rsidRPr="00E17817">
        <w:rPr>
          <w:rFonts w:cs="Arial"/>
          <w:bCs/>
          <w:sz w:val="24"/>
          <w:szCs w:val="24"/>
          <w:lang w:eastAsia="ja-JP"/>
        </w:rPr>
        <w:t>e-Meeting, August 17th – 28th, 2020</w:t>
      </w:r>
    </w:p>
    <w:p w14:paraId="59CC9F23" w14:textId="7900F98D"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132844BF"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552E9">
        <w:rPr>
          <w:rFonts w:ascii="Arial" w:eastAsia="Malgun Gothic" w:hAnsi="Arial"/>
          <w:color w:val="000000"/>
          <w:sz w:val="24"/>
        </w:rPr>
        <w:t>Other 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63DA3EF2" w14:textId="77777777" w:rsidR="00D94F4C" w:rsidRPr="001D75BE" w:rsidRDefault="008D2346" w:rsidP="00D94F4C">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A new work item on “</w:t>
      </w:r>
      <w:r w:rsidR="00D94F4C" w:rsidRPr="001D75BE">
        <w:rPr>
          <w:rFonts w:eastAsia="Malgun Gothic"/>
          <w:color w:val="000000"/>
          <w:sz w:val="22"/>
          <w:szCs w:val="22"/>
        </w:rPr>
        <w:t>Solutions for NR to support non-terrestrial networks (NTN)</w:t>
      </w:r>
      <w:r w:rsidRPr="001D75BE">
        <w:rPr>
          <w:rFonts w:eastAsia="Malgun Gothic"/>
          <w:color w:val="000000"/>
          <w:sz w:val="22"/>
          <w:szCs w:val="22"/>
        </w:rPr>
        <w:t>” was approved in RAN#8</w:t>
      </w:r>
      <w:r w:rsidR="00D94F4C" w:rsidRPr="001D75BE">
        <w:rPr>
          <w:rFonts w:eastAsia="Malgun Gothic"/>
          <w:color w:val="000000"/>
          <w:sz w:val="22"/>
          <w:szCs w:val="22"/>
        </w:rPr>
        <w:t>6</w:t>
      </w:r>
      <w:r w:rsidRPr="001D75BE">
        <w:rPr>
          <w:rFonts w:eastAsia="Malgun Gothic"/>
          <w:color w:val="000000"/>
          <w:sz w:val="22"/>
          <w:szCs w:val="22"/>
        </w:rPr>
        <w:t xml:space="preserve"> and </w:t>
      </w:r>
      <w:r w:rsidR="00D94F4C" w:rsidRPr="001D75BE">
        <w:rPr>
          <w:rFonts w:eastAsia="Malgun Gothic"/>
          <w:color w:val="000000"/>
          <w:sz w:val="22"/>
          <w:szCs w:val="22"/>
        </w:rPr>
        <w:t>objectives of the work item are as follows</w:t>
      </w:r>
      <w:r w:rsidR="009139F9" w:rsidRPr="001D75BE">
        <w:rPr>
          <w:rFonts w:eastAsia="Malgun Gothic"/>
          <w:color w:val="000000"/>
          <w:sz w:val="22"/>
          <w:szCs w:val="22"/>
        </w:rPr>
        <w:t xml:space="preserve"> [</w:t>
      </w:r>
      <w:r w:rsidR="001F2CD1" w:rsidRPr="001D75BE">
        <w:rPr>
          <w:rFonts w:eastAsia="Malgun Gothic"/>
          <w:color w:val="000000"/>
          <w:sz w:val="22"/>
          <w:szCs w:val="22"/>
        </w:rPr>
        <w:t>1</w:t>
      </w:r>
      <w:r w:rsidR="009139F9" w:rsidRPr="001D75BE">
        <w:rPr>
          <w:rFonts w:eastAsia="Malgun Gothic"/>
          <w:color w:val="000000"/>
          <w:sz w:val="22"/>
          <w:szCs w:val="22"/>
        </w:rPr>
        <w:t>]</w:t>
      </w:r>
      <w:r w:rsidR="00D94F4C" w:rsidRPr="001D75BE">
        <w:rPr>
          <w:rFonts w:eastAsia="Malgun Gothic"/>
          <w:color w:val="000000"/>
          <w:sz w:val="22"/>
          <w:szCs w:val="22"/>
        </w:rPr>
        <w:t>,</w:t>
      </w:r>
    </w:p>
    <w:p w14:paraId="46ADAD45" w14:textId="77777777" w:rsidR="00D94F4C" w:rsidRPr="001D75BE" w:rsidRDefault="00D94F4C" w:rsidP="00D94F4C">
      <w:pPr>
        <w:rPr>
          <w:sz w:val="22"/>
          <w:szCs w:val="22"/>
        </w:rPr>
      </w:pPr>
    </w:p>
    <w:p w14:paraId="0FDD045D" w14:textId="77777777" w:rsidR="00D94F4C" w:rsidRPr="001D75BE" w:rsidRDefault="00D94F4C" w:rsidP="00D94F4C">
      <w:pPr>
        <w:rPr>
          <w:sz w:val="22"/>
          <w:szCs w:val="22"/>
          <w:lang w:eastAsia="ja-JP"/>
        </w:rPr>
      </w:pPr>
      <w:r w:rsidRPr="001D75BE">
        <w:rPr>
          <w:sz w:val="22"/>
          <w:szCs w:val="22"/>
        </w:rPr>
        <w:t>Enhancing features to address the identified issues due to long propagation delays, large Doppler effects, and moving cells in NTN,</w:t>
      </w:r>
      <w:r w:rsidRPr="001D75BE">
        <w:rPr>
          <w:sz w:val="22"/>
          <w:szCs w:val="22"/>
          <w:lang w:eastAsia="ja-JP"/>
        </w:rPr>
        <w:t xml:space="preserve"> the following should be specified (see TR 38.821):</w:t>
      </w:r>
    </w:p>
    <w:p w14:paraId="2CFD2486"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Timing relationship enhancements[RAN1,RAN2]</w:t>
      </w:r>
    </w:p>
    <w:p w14:paraId="066F0020"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Enhancements on UL time and frequency synchronization [RAN1,RAN2]</w:t>
      </w:r>
    </w:p>
    <w:p w14:paraId="6B647E20"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HARQ</w:t>
      </w:r>
    </w:p>
    <w:p w14:paraId="09477BCD"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Number of HARQ process [RAN1]</w:t>
      </w:r>
    </w:p>
    <w:p w14:paraId="166529C9"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Enabling / disabling of HARQ feedback as described in the TR 38.821 </w:t>
      </w:r>
      <w:r w:rsidRPr="001D75BE">
        <w:rPr>
          <w:rFonts w:hint="eastAsia"/>
          <w:sz w:val="22"/>
          <w:szCs w:val="22"/>
        </w:rPr>
        <w:t>[</w:t>
      </w:r>
      <w:r w:rsidRPr="001D75BE">
        <w:rPr>
          <w:sz w:val="22"/>
          <w:szCs w:val="22"/>
        </w:rPr>
        <w:t>RAN1&amp;2</w:t>
      </w:r>
      <w:r w:rsidRPr="001D75BE">
        <w:rPr>
          <w:rFonts w:hint="eastAsia"/>
          <w:sz w:val="22"/>
          <w:szCs w:val="22"/>
        </w:rPr>
        <w:t>]</w:t>
      </w:r>
    </w:p>
    <w:p w14:paraId="4200D458" w14:textId="77777777" w:rsidR="00D94F4C" w:rsidRPr="001D75BE" w:rsidRDefault="00D94F4C" w:rsidP="00D94F4C">
      <w:pPr>
        <w:rPr>
          <w:sz w:val="22"/>
          <w:szCs w:val="22"/>
        </w:rPr>
      </w:pPr>
    </w:p>
    <w:p w14:paraId="34DF0305" w14:textId="77777777" w:rsidR="00D94F4C" w:rsidRPr="001D75BE" w:rsidRDefault="00D94F4C" w:rsidP="00D94F4C">
      <w:pPr>
        <w:rPr>
          <w:sz w:val="22"/>
          <w:szCs w:val="22"/>
        </w:rPr>
      </w:pPr>
      <w:r w:rsidRPr="001D75BE">
        <w:rPr>
          <w:sz w:val="22"/>
          <w:szCs w:val="22"/>
        </w:rPr>
        <w:t>In addition, the following topics should be specified if beneficial and needed</w:t>
      </w:r>
    </w:p>
    <w:p w14:paraId="6A83A27E"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 on the PRACH sequence and/or format and extension of the ra-ResponseWindow duration (in the case of UE with GNSS capability but without pre-compensation of timing and frequency offset capabilities) [RAN1/2]</w:t>
      </w:r>
      <w:r w:rsidRPr="001D75BE">
        <w:rPr>
          <w:rFonts w:eastAsia="PMingLiU"/>
          <w:sz w:val="22"/>
          <w:szCs w:val="22"/>
          <w:lang w:eastAsia="zh-TW"/>
        </w:rPr>
        <w:t>.</w:t>
      </w:r>
    </w:p>
    <w:p w14:paraId="56FDA725"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Feeder link switch [RAN2,RAN1]</w:t>
      </w:r>
    </w:p>
    <w:p w14:paraId="5C021B71"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Beam management and Bandwidth Parts (BWP) operation for NTN with frequency reuse [RAN1/2]</w:t>
      </w:r>
    </w:p>
    <w:p w14:paraId="57E3B88F" w14:textId="77777777" w:rsidR="00D94F4C" w:rsidRPr="001D75BE" w:rsidRDefault="00D94F4C" w:rsidP="00D94F4C">
      <w:pPr>
        <w:widowControl/>
        <w:numPr>
          <w:ilvl w:val="1"/>
          <w:numId w:val="38"/>
        </w:numPr>
        <w:wordWrap/>
        <w:overflowPunct w:val="0"/>
        <w:adjustRightInd w:val="0"/>
        <w:textAlignment w:val="baseline"/>
        <w:rPr>
          <w:rFonts w:eastAsia="PMingLiU"/>
          <w:sz w:val="22"/>
          <w:szCs w:val="22"/>
          <w:lang w:eastAsia="zh-TW"/>
        </w:rPr>
      </w:pPr>
      <w:r w:rsidRPr="001D75BE">
        <w:rPr>
          <w:rFonts w:eastAsia="PMingLiU"/>
          <w:sz w:val="22"/>
          <w:szCs w:val="22"/>
          <w:lang w:eastAsia="zh-TW"/>
        </w:rPr>
        <w:t>Including signalling of polarization mode</w:t>
      </w:r>
    </w:p>
    <w:p w14:paraId="562C1F1D" w14:textId="39845380" w:rsidR="00BA5E1B" w:rsidRPr="001D75BE" w:rsidRDefault="00BA5E1B" w:rsidP="006613B5">
      <w:pPr>
        <w:wordWrap/>
        <w:spacing w:before="240" w:after="60" w:line="288" w:lineRule="auto"/>
        <w:ind w:firstLine="284"/>
        <w:jc w:val="both"/>
        <w:rPr>
          <w:rFonts w:eastAsia="Batang"/>
          <w:color w:val="000000"/>
          <w:sz w:val="22"/>
          <w:szCs w:val="22"/>
        </w:rPr>
      </w:pPr>
      <w:r w:rsidRPr="001D75BE">
        <w:rPr>
          <w:rFonts w:eastAsia="Malgun Gothic"/>
          <w:color w:val="000000"/>
          <w:sz w:val="22"/>
          <w:szCs w:val="22"/>
        </w:rPr>
        <w:t xml:space="preserve">In this contribution, we discuss the </w:t>
      </w:r>
      <w:r w:rsidR="004552E9">
        <w:rPr>
          <w:rFonts w:eastAsia="Malgun Gothic"/>
          <w:color w:val="000000"/>
          <w:sz w:val="22"/>
          <w:szCs w:val="22"/>
        </w:rPr>
        <w:t>other issues</w:t>
      </w:r>
      <w:r w:rsidR="00D94F4C" w:rsidRPr="001D75BE">
        <w:rPr>
          <w:rFonts w:eastAsia="Malgun Gothic"/>
          <w:color w:val="000000"/>
          <w:sz w:val="22"/>
          <w:szCs w:val="22"/>
        </w:rPr>
        <w:t xml:space="preserve"> for NTN</w:t>
      </w:r>
      <w:r w:rsidRPr="001D75BE">
        <w:rPr>
          <w:rFonts w:eastAsia="Malgun Gothic"/>
          <w:color w:val="000000"/>
          <w:sz w:val="22"/>
          <w:szCs w:val="22"/>
        </w:rPr>
        <w:t>.</w:t>
      </w:r>
    </w:p>
    <w:p w14:paraId="75B27B37" w14:textId="765BE3A0" w:rsidR="00545384" w:rsidRDefault="004552E9" w:rsidP="004552E9">
      <w:pPr>
        <w:pStyle w:val="Heading1"/>
      </w:pPr>
      <w:r>
        <w:t>A</w:t>
      </w:r>
      <w:r w:rsidRPr="004552E9">
        <w:t>dditional evaluation assumption</w:t>
      </w:r>
    </w:p>
    <w:p w14:paraId="5B2DEB75"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00670ABE" w14:textId="2CB2C55E" w:rsidR="00335869" w:rsidRDefault="00A9337B" w:rsidP="00D5035B">
      <w:pPr>
        <w:wordWrap/>
        <w:spacing w:before="60" w:after="60" w:line="288" w:lineRule="auto"/>
        <w:jc w:val="both"/>
        <w:rPr>
          <w:rFonts w:eastAsia="Malgun Gothic"/>
          <w:sz w:val="22"/>
          <w:szCs w:val="22"/>
        </w:rPr>
      </w:pPr>
      <w:r>
        <w:rPr>
          <w:rFonts w:eastAsia="Malgun Gothic" w:hint="eastAsia"/>
          <w:sz w:val="22"/>
          <w:szCs w:val="22"/>
        </w:rPr>
        <w:t xml:space="preserve">In [2], the path loss </w:t>
      </w:r>
      <w:r w:rsidR="00D944B8">
        <w:rPr>
          <w:rFonts w:eastAsia="Malgun Gothic"/>
          <w:sz w:val="22"/>
          <w:szCs w:val="22"/>
        </w:rPr>
        <w:t xml:space="preserve">model </w:t>
      </w:r>
      <w:r>
        <w:rPr>
          <w:rFonts w:eastAsia="Malgun Gothic"/>
          <w:sz w:val="22"/>
          <w:szCs w:val="22"/>
        </w:rPr>
        <w:t xml:space="preserve">due to woodland, e.g., forest, is </w:t>
      </w:r>
      <w:r w:rsidR="00D944B8">
        <w:rPr>
          <w:rFonts w:eastAsia="Malgun Gothic"/>
          <w:sz w:val="22"/>
          <w:szCs w:val="22"/>
        </w:rPr>
        <w:t>provided</w:t>
      </w:r>
      <w:r>
        <w:rPr>
          <w:rFonts w:eastAsia="Malgun Gothic"/>
          <w:sz w:val="22"/>
          <w:szCs w:val="22"/>
        </w:rPr>
        <w:t xml:space="preserve"> for satellite communications. </w:t>
      </w:r>
      <w:r w:rsidR="00D5035B">
        <w:rPr>
          <w:rFonts w:eastAsia="Malgun Gothic"/>
          <w:sz w:val="22"/>
          <w:szCs w:val="22"/>
        </w:rPr>
        <w:t xml:space="preserve">Fig. xx shows the illustration of woodland with </w:t>
      </w:r>
      <w:r w:rsidR="00D5035B" w:rsidRPr="00D5035B">
        <w:rPr>
          <w:rFonts w:eastAsia="Malgun Gothic"/>
          <w:sz w:val="22"/>
          <w:szCs w:val="22"/>
        </w:rPr>
        <w:t xml:space="preserve">vegetation path length, </w:t>
      </w:r>
      <m:oMath>
        <m:r>
          <w:rPr>
            <w:rFonts w:ascii="Cambria Math" w:eastAsia="Malgun Gothic" w:hAnsi="Cambria Math"/>
            <w:sz w:val="22"/>
            <w:szCs w:val="22"/>
          </w:rPr>
          <m:t>d</m:t>
        </m:r>
      </m:oMath>
      <w:r w:rsidR="00D5035B" w:rsidRPr="00D5035B">
        <w:rPr>
          <w:rFonts w:eastAsia="Malgun Gothic"/>
          <w:sz w:val="22"/>
          <w:szCs w:val="22"/>
        </w:rPr>
        <w:t xml:space="preserve">, average tree height, </w:t>
      </w:r>
      <m:oMath>
        <m:sSub>
          <m:sSubPr>
            <m:ctrlPr>
              <w:rPr>
                <w:rFonts w:ascii="Cambria Math" w:eastAsia="Malgun Gothic" w:hAnsi="Cambria Math"/>
                <w:sz w:val="22"/>
                <w:szCs w:val="22"/>
              </w:rPr>
            </m:ctrlPr>
          </m:sSubPr>
          <m:e>
            <m:r>
              <w:rPr>
                <w:rFonts w:ascii="Cambria Math" w:eastAsia="Malgun Gothic" w:hAnsi="Cambria Math"/>
                <w:sz w:val="22"/>
                <w:szCs w:val="22"/>
              </w:rPr>
              <m:t>h</m:t>
            </m:r>
          </m:e>
          <m:sub>
            <m:r>
              <w:rPr>
                <w:rFonts w:ascii="Cambria Math" w:eastAsia="Malgun Gothic" w:hAnsi="Cambria Math"/>
                <w:sz w:val="22"/>
                <w:szCs w:val="22"/>
              </w:rPr>
              <m:t>v</m:t>
            </m:r>
          </m:sub>
        </m:sSub>
      </m:oMath>
      <w:r w:rsidR="00D5035B" w:rsidRPr="00D5035B">
        <w:rPr>
          <w:rFonts w:eastAsia="Malgun Gothic"/>
          <w:sz w:val="22"/>
          <w:szCs w:val="22"/>
        </w:rPr>
        <w:t>,</w:t>
      </w:r>
      <w:r w:rsidR="00D5035B">
        <w:rPr>
          <w:rFonts w:eastAsia="Malgun Gothic"/>
          <w:sz w:val="22"/>
          <w:szCs w:val="22"/>
        </w:rPr>
        <w:t xml:space="preserve"> </w:t>
      </w:r>
      <w:r w:rsidR="00D5035B" w:rsidRPr="00D5035B">
        <w:rPr>
          <w:rFonts w:eastAsia="Malgun Gothic"/>
          <w:sz w:val="22"/>
          <w:szCs w:val="22"/>
        </w:rPr>
        <w:t xml:space="preserve">height of the Rx antenna over ground, </w:t>
      </w:r>
      <m:oMath>
        <m:sSub>
          <m:sSubPr>
            <m:ctrlPr>
              <w:rPr>
                <w:rFonts w:ascii="Cambria Math" w:eastAsia="Malgun Gothic" w:hAnsi="Cambria Math"/>
                <w:sz w:val="22"/>
                <w:szCs w:val="22"/>
              </w:rPr>
            </m:ctrlPr>
          </m:sSubPr>
          <m:e>
            <m:r>
              <w:rPr>
                <w:rFonts w:ascii="Cambria Math" w:eastAsia="Malgun Gothic" w:hAnsi="Cambria Math"/>
                <w:sz w:val="22"/>
                <w:szCs w:val="22"/>
              </w:rPr>
              <m:t>h</m:t>
            </m:r>
          </m:e>
          <m:sub>
            <m:r>
              <w:rPr>
                <w:rFonts w:ascii="Cambria Math" w:eastAsia="Malgun Gothic" w:hAnsi="Cambria Math"/>
                <w:sz w:val="22"/>
                <w:szCs w:val="22"/>
              </w:rPr>
              <m:t>a</m:t>
            </m:r>
          </m:sub>
        </m:sSub>
      </m:oMath>
      <w:r w:rsidR="00D5035B" w:rsidRPr="00D5035B">
        <w:rPr>
          <w:rFonts w:eastAsia="Malgun Gothic"/>
          <w:sz w:val="22"/>
          <w:szCs w:val="22"/>
        </w:rPr>
        <w:t xml:space="preserve">, radio path elevation, </w:t>
      </w:r>
      <m:oMath>
        <m:r>
          <w:rPr>
            <w:rFonts w:ascii="Cambria Math" w:eastAsia="Malgun Gothic" w:hAnsi="Cambria Math"/>
            <w:sz w:val="22"/>
            <w:szCs w:val="22"/>
          </w:rPr>
          <m:t>θ</m:t>
        </m:r>
      </m:oMath>
      <w:r w:rsidR="00D5035B" w:rsidRPr="00D5035B">
        <w:rPr>
          <w:rFonts w:eastAsia="Malgun Gothic"/>
          <w:sz w:val="22"/>
          <w:szCs w:val="22"/>
        </w:rPr>
        <w:t>,, and distance</w:t>
      </w:r>
      <w:r w:rsidR="00D5035B">
        <w:rPr>
          <w:rFonts w:eastAsia="Malgun Gothic"/>
          <w:sz w:val="22"/>
          <w:szCs w:val="22"/>
        </w:rPr>
        <w:t xml:space="preserve"> </w:t>
      </w:r>
      <w:r w:rsidR="00D5035B" w:rsidRPr="00D5035B">
        <w:rPr>
          <w:rFonts w:eastAsia="Malgun Gothic"/>
          <w:sz w:val="22"/>
          <w:szCs w:val="22"/>
        </w:rPr>
        <w:t xml:space="preserve">of the antenna to the roadside woodland, </w:t>
      </w:r>
      <m:oMath>
        <m:sSub>
          <m:sSubPr>
            <m:ctrlPr>
              <w:rPr>
                <w:rFonts w:ascii="Cambria Math" w:eastAsia="Malgun Gothic" w:hAnsi="Cambria Math"/>
                <w:sz w:val="22"/>
                <w:szCs w:val="22"/>
              </w:rPr>
            </m:ctrlPr>
          </m:sSubPr>
          <m:e>
            <m:r>
              <w:rPr>
                <w:rFonts w:ascii="Cambria Math" w:eastAsia="Malgun Gothic" w:hAnsi="Cambria Math"/>
                <w:sz w:val="22"/>
                <w:szCs w:val="22"/>
              </w:rPr>
              <m:t>d</m:t>
            </m:r>
          </m:e>
          <m:sub>
            <m:r>
              <w:rPr>
                <w:rFonts w:ascii="Cambria Math" w:eastAsia="Malgun Gothic" w:hAnsi="Cambria Math"/>
                <w:sz w:val="22"/>
                <w:szCs w:val="22"/>
              </w:rPr>
              <m:t>w</m:t>
            </m:r>
          </m:sub>
        </m:sSub>
      </m:oMath>
      <w:r w:rsidR="002F112A">
        <w:rPr>
          <w:rFonts w:eastAsia="Malgun Gothic"/>
          <w:sz w:val="22"/>
          <w:szCs w:val="22"/>
        </w:rPr>
        <w:t>.</w:t>
      </w:r>
      <w:r w:rsidR="00122B63">
        <w:rPr>
          <w:rFonts w:eastAsia="Malgun Gothic"/>
          <w:sz w:val="22"/>
          <w:szCs w:val="22"/>
        </w:rPr>
        <w:t xml:space="preserve"> According to the measurement from Austria [2], the model for the attenuation loss, L, can be modeled as</w:t>
      </w:r>
    </w:p>
    <w:p w14:paraId="7E5AD5B0" w14:textId="16344247" w:rsidR="00122B63" w:rsidRPr="00122B63" w:rsidRDefault="00122B63" w:rsidP="00D5035B">
      <w:pPr>
        <w:wordWrap/>
        <w:spacing w:before="60" w:after="60" w:line="288" w:lineRule="auto"/>
        <w:jc w:val="both"/>
        <w:rPr>
          <w:rFonts w:eastAsia="Malgun Gothic"/>
          <w:sz w:val="22"/>
          <w:szCs w:val="22"/>
        </w:rPr>
      </w:pPr>
      <m:oMathPara>
        <m:oMath>
          <m:r>
            <w:rPr>
              <w:rFonts w:ascii="Cambria Math" w:eastAsia="Malgun Gothic" w:hAnsi="Cambria Math"/>
              <w:sz w:val="22"/>
              <w:szCs w:val="22"/>
            </w:rPr>
            <m:t>L</m:t>
          </m:r>
          <m:r>
            <m:rPr>
              <m:sty m:val="p"/>
            </m:rPr>
            <w:rPr>
              <w:rFonts w:ascii="Cambria Math" w:eastAsia="Malgun Gothic" w:hAnsi="Cambria Math"/>
              <w:sz w:val="22"/>
              <w:szCs w:val="22"/>
            </w:rPr>
            <m:t xml:space="preserve"> </m:t>
          </m:r>
          <m:d>
            <m:dPr>
              <m:ctrlPr>
                <w:rPr>
                  <w:rFonts w:ascii="Cambria Math" w:eastAsia="Malgun Gothic" w:hAnsi="Cambria Math"/>
                  <w:sz w:val="22"/>
                  <w:szCs w:val="22"/>
                </w:rPr>
              </m:ctrlPr>
            </m:dPr>
            <m:e>
              <m:r>
                <w:rPr>
                  <w:rFonts w:ascii="Cambria Math" w:eastAsia="Malgun Gothic" w:hAnsi="Cambria Math"/>
                  <w:sz w:val="22"/>
                  <w:szCs w:val="22"/>
                </w:rPr>
                <m:t>dB</m:t>
              </m:r>
            </m:e>
          </m:d>
          <m:r>
            <w:rPr>
              <w:rFonts w:ascii="Cambria Math" w:eastAsia="Malgun Gothic" w:hAnsi="Cambria Math"/>
              <w:sz w:val="22"/>
              <w:szCs w:val="22"/>
            </w:rPr>
            <m:t>=0.25</m:t>
          </m:r>
          <m:sSup>
            <m:sSupPr>
              <m:ctrlPr>
                <w:rPr>
                  <w:rFonts w:ascii="Cambria Math" w:eastAsia="Malgun Gothic" w:hAnsi="Cambria Math"/>
                  <w:i/>
                  <w:sz w:val="22"/>
                  <w:szCs w:val="22"/>
                </w:rPr>
              </m:ctrlPr>
            </m:sSupPr>
            <m:e>
              <m:r>
                <w:rPr>
                  <w:rFonts w:ascii="Cambria Math" w:eastAsia="Malgun Gothic" w:hAnsi="Cambria Math"/>
                  <w:sz w:val="22"/>
                  <w:szCs w:val="22"/>
                </w:rPr>
                <m:t>f</m:t>
              </m:r>
            </m:e>
            <m:sup>
              <m:r>
                <w:rPr>
                  <w:rFonts w:ascii="Cambria Math" w:eastAsia="Malgun Gothic" w:hAnsi="Cambria Math"/>
                  <w:sz w:val="22"/>
                  <w:szCs w:val="22"/>
                </w:rPr>
                <m:t>0.39</m:t>
              </m:r>
            </m:sup>
          </m:sSup>
          <m:sSup>
            <m:sSupPr>
              <m:ctrlPr>
                <w:rPr>
                  <w:rFonts w:ascii="Cambria Math" w:eastAsia="Malgun Gothic" w:hAnsi="Cambria Math"/>
                  <w:i/>
                  <w:sz w:val="22"/>
                  <w:szCs w:val="22"/>
                </w:rPr>
              </m:ctrlPr>
            </m:sSupPr>
            <m:e>
              <m:r>
                <w:rPr>
                  <w:rFonts w:ascii="Cambria Math" w:eastAsia="Malgun Gothic" w:hAnsi="Cambria Math"/>
                  <w:sz w:val="22"/>
                  <w:szCs w:val="22"/>
                </w:rPr>
                <m:t>d</m:t>
              </m:r>
            </m:e>
            <m:sup>
              <m:r>
                <w:rPr>
                  <w:rFonts w:ascii="Cambria Math" w:eastAsia="Malgun Gothic" w:hAnsi="Cambria Math"/>
                  <w:sz w:val="22"/>
                  <w:szCs w:val="22"/>
                </w:rPr>
                <m:t>0.25</m:t>
              </m:r>
            </m:sup>
          </m:sSup>
          <m:sSup>
            <m:sSupPr>
              <m:ctrlPr>
                <w:rPr>
                  <w:rFonts w:ascii="Cambria Math" w:eastAsia="Malgun Gothic" w:hAnsi="Cambria Math"/>
                  <w:i/>
                  <w:sz w:val="22"/>
                  <w:szCs w:val="22"/>
                </w:rPr>
              </m:ctrlPr>
            </m:sSupPr>
            <m:e>
              <m:r>
                <w:rPr>
                  <w:rFonts w:ascii="Cambria Math" w:eastAsia="Malgun Gothic" w:hAnsi="Cambria Math"/>
                  <w:sz w:val="22"/>
                  <w:szCs w:val="22"/>
                </w:rPr>
                <m:t>θ</m:t>
              </m:r>
            </m:e>
            <m:sup>
              <m:r>
                <w:rPr>
                  <w:rFonts w:ascii="Cambria Math" w:eastAsia="Malgun Gothic" w:hAnsi="Cambria Math"/>
                  <w:sz w:val="22"/>
                  <w:szCs w:val="22"/>
                </w:rPr>
                <m:t>0.05</m:t>
              </m:r>
            </m:sup>
          </m:sSup>
          <m:r>
            <w:rPr>
              <w:rFonts w:ascii="Cambria Math" w:eastAsia="Malgun Gothic" w:hAnsi="Cambria Math"/>
              <w:sz w:val="22"/>
              <w:szCs w:val="22"/>
            </w:rPr>
            <m:t>,</m:t>
          </m:r>
        </m:oMath>
      </m:oMathPara>
    </w:p>
    <w:p w14:paraId="6DDF6127" w14:textId="2542DA10" w:rsidR="00122B63" w:rsidRPr="00122B63" w:rsidRDefault="00122B63" w:rsidP="00D5035B">
      <w:pPr>
        <w:wordWrap/>
        <w:spacing w:before="60" w:after="60" w:line="288" w:lineRule="auto"/>
        <w:jc w:val="both"/>
        <w:rPr>
          <w:rFonts w:eastAsia="Malgun Gothic"/>
          <w:sz w:val="22"/>
          <w:szCs w:val="22"/>
        </w:rPr>
      </w:pPr>
      <w:r>
        <w:rPr>
          <w:rFonts w:eastAsia="Malgun Gothic" w:hint="eastAsia"/>
          <w:sz w:val="22"/>
          <w:szCs w:val="22"/>
        </w:rPr>
        <w:t xml:space="preserve">where </w:t>
      </w:r>
      <w:r>
        <w:rPr>
          <w:rFonts w:eastAsia="Malgun Gothic"/>
          <w:sz w:val="22"/>
          <w:szCs w:val="22"/>
        </w:rPr>
        <w:t xml:space="preserve">f, d, </w:t>
      </w:r>
      <m:oMath>
        <m:r>
          <w:rPr>
            <w:rFonts w:ascii="Cambria Math" w:eastAsia="Malgun Gothic" w:hAnsi="Cambria Math"/>
            <w:sz w:val="22"/>
            <w:szCs w:val="22"/>
          </w:rPr>
          <m:t>θ</m:t>
        </m:r>
      </m:oMath>
      <w:r>
        <w:rPr>
          <w:rFonts w:eastAsia="Malgun Gothic" w:hint="eastAsia"/>
          <w:sz w:val="22"/>
          <w:szCs w:val="22"/>
        </w:rPr>
        <w:t xml:space="preserve"> denote frequency (MHz), vegetation depth (m), and elevation angle (degrees), respectively. </w:t>
      </w:r>
      <w:r w:rsidR="00FB02AD">
        <w:rPr>
          <w:rFonts w:eastAsia="Malgun Gothic"/>
          <w:sz w:val="22"/>
          <w:szCs w:val="22"/>
        </w:rPr>
        <w:t xml:space="preserve">For example, </w:t>
      </w:r>
      <w:r w:rsidR="00487BC5">
        <w:rPr>
          <w:rFonts w:eastAsia="Malgun Gothic"/>
          <w:sz w:val="22"/>
          <w:szCs w:val="22"/>
        </w:rPr>
        <w:t>for 1.6 GHz frequency, and vegetation depth 10 m, and 30</w:t>
      </w:r>
      <w:r w:rsidR="00487BC5">
        <w:rPr>
          <w:rFonts w:ascii="Malgun Gothic" w:eastAsia="Malgun Gothic" w:hAnsi="Malgun Gothic" w:hint="eastAsia"/>
          <w:sz w:val="22"/>
          <w:szCs w:val="22"/>
        </w:rPr>
        <w:t>°</w:t>
      </w:r>
      <w:r w:rsidR="00487BC5">
        <w:rPr>
          <w:rFonts w:eastAsia="Malgun Gothic" w:hint="eastAsia"/>
          <w:sz w:val="22"/>
          <w:szCs w:val="22"/>
        </w:rPr>
        <w:t xml:space="preserve"> elevation angle, the attenuation loss can be modeled as </w:t>
      </w:r>
      <w:r w:rsidR="00487BC5">
        <w:rPr>
          <w:rFonts w:eastAsia="Malgun Gothic"/>
          <w:sz w:val="22"/>
          <w:szCs w:val="22"/>
        </w:rPr>
        <w:t xml:space="preserve">9.37 dB. </w:t>
      </w:r>
    </w:p>
    <w:p w14:paraId="536FEB83" w14:textId="593954C7" w:rsidR="00D5035B" w:rsidRDefault="00A9337B" w:rsidP="00D5035B">
      <w:pPr>
        <w:keepNext/>
        <w:wordWrap/>
        <w:spacing w:before="60" w:after="60" w:line="288" w:lineRule="auto"/>
        <w:jc w:val="center"/>
      </w:pPr>
      <w:r w:rsidRPr="00A9337B">
        <w:rPr>
          <w:noProof/>
          <w:sz w:val="22"/>
          <w:szCs w:val="22"/>
          <w:lang w:val="en-GB" w:eastAsia="zh-CN"/>
        </w:rPr>
        <w:lastRenderedPageBreak/>
        <w:drawing>
          <wp:inline distT="0" distB="0" distL="0" distR="0" wp14:anchorId="33E84680" wp14:editId="2F085D5B">
            <wp:extent cx="5351228" cy="2350323"/>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3202" cy="2351190"/>
                    </a:xfrm>
                    <a:prstGeom prst="rect">
                      <a:avLst/>
                    </a:prstGeom>
                    <a:noFill/>
                    <a:ln>
                      <a:noFill/>
                    </a:ln>
                  </pic:spPr>
                </pic:pic>
              </a:graphicData>
            </a:graphic>
          </wp:inline>
        </w:drawing>
      </w:r>
    </w:p>
    <w:p w14:paraId="0AED7B55" w14:textId="5D320F4D" w:rsidR="00353692" w:rsidRDefault="00D5035B" w:rsidP="00D5035B">
      <w:pPr>
        <w:pStyle w:val="Caption"/>
        <w:jc w:val="center"/>
        <w:rPr>
          <w:sz w:val="22"/>
          <w:szCs w:val="22"/>
        </w:rPr>
      </w:pPr>
      <w:r>
        <w:t xml:space="preserve">Figure </w:t>
      </w:r>
      <w:r w:rsidR="00691CE9">
        <w:rPr>
          <w:noProof/>
        </w:rPr>
        <w:fldChar w:fldCharType="begin"/>
      </w:r>
      <w:r w:rsidR="00691CE9">
        <w:rPr>
          <w:noProof/>
        </w:rPr>
        <w:instrText xml:space="preserve"> SEQ Figure \* ARABIC </w:instrText>
      </w:r>
      <w:r w:rsidR="00691CE9">
        <w:rPr>
          <w:noProof/>
        </w:rPr>
        <w:fldChar w:fldCharType="separate"/>
      </w:r>
      <w:r>
        <w:rPr>
          <w:noProof/>
        </w:rPr>
        <w:t>1</w:t>
      </w:r>
      <w:r w:rsidR="00691CE9">
        <w:rPr>
          <w:noProof/>
        </w:rPr>
        <w:fldChar w:fldCharType="end"/>
      </w:r>
      <w:r>
        <w:t xml:space="preserve">: </w:t>
      </w:r>
      <w:r w:rsidRPr="00D5035B">
        <w:rPr>
          <w:lang w:val="en-US"/>
        </w:rPr>
        <w:t>Representative radio path in woodland with vegetation path</w:t>
      </w:r>
    </w:p>
    <w:p w14:paraId="2E475EAB" w14:textId="275BA7BC" w:rsidR="00353692" w:rsidRDefault="00353692" w:rsidP="00F75D72">
      <w:pPr>
        <w:wordWrap/>
        <w:spacing w:before="60" w:after="60" w:line="288" w:lineRule="auto"/>
        <w:jc w:val="both"/>
        <w:rPr>
          <w:rFonts w:eastAsia="Malgun Gothic"/>
          <w:sz w:val="22"/>
          <w:szCs w:val="22"/>
        </w:rPr>
      </w:pPr>
    </w:p>
    <w:p w14:paraId="023EAB12" w14:textId="6BBB2554" w:rsidR="00487BC5" w:rsidRDefault="00487BC5" w:rsidP="00F75D72">
      <w:pPr>
        <w:wordWrap/>
        <w:spacing w:before="60" w:after="60" w:line="288" w:lineRule="auto"/>
        <w:jc w:val="both"/>
        <w:rPr>
          <w:rFonts w:eastAsia="Malgun Gothic"/>
          <w:sz w:val="22"/>
          <w:szCs w:val="22"/>
        </w:rPr>
      </w:pPr>
      <w:r w:rsidRPr="00487BC5">
        <w:rPr>
          <w:rFonts w:hint="eastAsia"/>
          <w:b/>
          <w:sz w:val="22"/>
          <w:szCs w:val="22"/>
          <w:lang w:val="en-GB" w:eastAsia="en-US"/>
        </w:rPr>
        <w:t>Proposal 1</w:t>
      </w:r>
      <w:r>
        <w:rPr>
          <w:rFonts w:eastAsia="Malgun Gothic" w:hint="eastAsia"/>
          <w:sz w:val="22"/>
          <w:szCs w:val="22"/>
        </w:rPr>
        <w:t xml:space="preserve">. The </w:t>
      </w:r>
      <w:r>
        <w:rPr>
          <w:rFonts w:eastAsia="Malgun Gothic"/>
          <w:sz w:val="22"/>
          <w:szCs w:val="22"/>
        </w:rPr>
        <w:t xml:space="preserve">attenuation loss due to forest is reflected for evaluations. </w:t>
      </w:r>
    </w:p>
    <w:p w14:paraId="1518C402" w14:textId="7E0C4067" w:rsidR="004552E9" w:rsidRDefault="004552E9" w:rsidP="004552E9">
      <w:pPr>
        <w:pStyle w:val="Heading1"/>
      </w:pPr>
      <w:r>
        <w:t>Other enhancements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can be categorized into open loop and closed loop depending on whether feedback is applied. For NTN, open loop power control without feedback seems more suitable considering the long propagation delay. For open loop power control, UE should be allowed to adjust/predict its own transmission power not only based on DL measurement, e.g., pathloss measurement but also other available information, such as gNB ephemeris and UE trajectory. </w:t>
      </w:r>
    </w:p>
    <w:p w14:paraId="4BF0950C" w14:textId="553548E7" w:rsidR="004552E9" w:rsidRPr="004552E9" w:rsidRDefault="004552E9" w:rsidP="004552E9">
      <w:pPr>
        <w:spacing w:after="240" w:line="276" w:lineRule="auto"/>
        <w:rPr>
          <w:sz w:val="22"/>
          <w:szCs w:val="22"/>
          <w:lang w:val="en-GB" w:eastAsia="en-US"/>
        </w:rPr>
      </w:pPr>
      <w:r w:rsidRPr="004552E9">
        <w:rPr>
          <w:b/>
          <w:sz w:val="22"/>
          <w:szCs w:val="22"/>
          <w:lang w:val="en-GB" w:eastAsia="en-US"/>
        </w:rPr>
        <w:t xml:space="preserve">Proposal </w:t>
      </w:r>
      <w:r w:rsidR="00157A07">
        <w:rPr>
          <w:b/>
          <w:sz w:val="22"/>
          <w:szCs w:val="22"/>
          <w:lang w:val="en-GB" w:eastAsia="en-US"/>
        </w:rPr>
        <w:t>2</w:t>
      </w:r>
      <w:r w:rsidRPr="004552E9">
        <w:rPr>
          <w:sz w:val="22"/>
          <w:szCs w:val="22"/>
          <w:lang w:val="en-GB" w:eastAsia="en-US"/>
        </w:rPr>
        <w:t xml:space="preserve">: </w:t>
      </w:r>
      <w:r>
        <w:rPr>
          <w:sz w:val="22"/>
          <w:szCs w:val="22"/>
          <w:lang w:val="en-GB" w:eastAsia="en-US"/>
        </w:rPr>
        <w:t xml:space="preserve">In open loop power control, </w:t>
      </w:r>
      <w:r w:rsidRPr="004552E9">
        <w:rPr>
          <w:sz w:val="22"/>
          <w:szCs w:val="22"/>
          <w:lang w:val="en-GB" w:eastAsia="en-US"/>
        </w:rPr>
        <w:t>UE should be allowed to predict its own transmission power not only based on DL measurement, e.g., pathloss measurement but also other available information, such as gNB ephemeris and UE trajectory.</w:t>
      </w:r>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can also be </w:t>
      </w:r>
      <w:r>
        <w:rPr>
          <w:sz w:val="22"/>
          <w:szCs w:val="22"/>
          <w:lang w:val="en-GB" w:eastAsia="en-US"/>
        </w:rPr>
        <w:t>supported</w:t>
      </w:r>
      <w:r w:rsidRPr="004552E9">
        <w:rPr>
          <w:sz w:val="22"/>
          <w:szCs w:val="22"/>
          <w:lang w:val="en-GB" w:eastAsia="en-US"/>
        </w:rPr>
        <w:t xml:space="preserve"> in addition to open loop mechanism. For certain types of NTN, e.g., GEO satellite, it is static relative to the earth. In this case, the change of path loss with respect to time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can be adjusted as a group with a reference UE transmission power. In addition, a mechanism to disable closed loop power control should be considered. </w:t>
      </w:r>
    </w:p>
    <w:p w14:paraId="3DB5AF20" w14:textId="7B159265" w:rsidR="004552E9" w:rsidRPr="004552E9" w:rsidRDefault="004552E9" w:rsidP="004552E9">
      <w:pPr>
        <w:spacing w:after="240" w:line="276" w:lineRule="auto"/>
        <w:rPr>
          <w:sz w:val="22"/>
          <w:szCs w:val="22"/>
          <w:lang w:val="en-GB" w:eastAsia="en-US"/>
        </w:rPr>
      </w:pPr>
      <w:r w:rsidRPr="004552E9">
        <w:rPr>
          <w:b/>
          <w:sz w:val="22"/>
          <w:szCs w:val="22"/>
          <w:lang w:val="en-GB" w:eastAsia="en-US"/>
        </w:rPr>
        <w:t xml:space="preserve">Proposal </w:t>
      </w:r>
      <w:r w:rsidR="00157A07">
        <w:rPr>
          <w:b/>
          <w:sz w:val="22"/>
          <w:szCs w:val="22"/>
          <w:lang w:val="en-GB" w:eastAsia="en-US"/>
        </w:rPr>
        <w:t>3</w:t>
      </w:r>
      <w:r w:rsidRPr="004552E9">
        <w:rPr>
          <w:sz w:val="22"/>
          <w:szCs w:val="22"/>
          <w:lang w:val="en-GB" w:eastAsia="en-US"/>
        </w:rPr>
        <w:t xml:space="preserve">: Closed loop power control should be </w:t>
      </w:r>
      <w:r>
        <w:rPr>
          <w:sz w:val="22"/>
          <w:szCs w:val="22"/>
          <w:lang w:val="en-GB" w:eastAsia="en-US"/>
        </w:rPr>
        <w:t>supported</w:t>
      </w:r>
      <w:r w:rsidRPr="004552E9">
        <w:rPr>
          <w:sz w:val="22"/>
          <w:szCs w:val="22"/>
          <w:lang w:val="en-GB" w:eastAsia="en-US"/>
        </w:rPr>
        <w:t xml:space="preserve"> in NTN and a mechanism to disable closed loop power control should be considered.</w:t>
      </w:r>
    </w:p>
    <w:p w14:paraId="479E2FB9"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242B8838" w:rsidR="005E37A1" w:rsidRPr="001D75BE" w:rsidRDefault="005E37A1" w:rsidP="005E37A1">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4552E9">
        <w:rPr>
          <w:rFonts w:eastAsia="Malgun Gothic"/>
          <w:color w:val="000000"/>
          <w:sz w:val="22"/>
          <w:szCs w:val="22"/>
        </w:rPr>
        <w:t>other issues for NTN</w:t>
      </w:r>
      <w:r w:rsidRPr="001D75BE">
        <w:rPr>
          <w:rFonts w:eastAsia="Malgun Gothic"/>
          <w:color w:val="000000"/>
          <w:sz w:val="22"/>
          <w:szCs w:val="22"/>
        </w:rPr>
        <w:t>. Our proposals are summarized below.</w:t>
      </w:r>
    </w:p>
    <w:p w14:paraId="221B88B2" w14:textId="77777777" w:rsidR="00157A07" w:rsidRDefault="00157A07" w:rsidP="00157A07">
      <w:pPr>
        <w:wordWrap/>
        <w:spacing w:before="60" w:after="60" w:line="288" w:lineRule="auto"/>
        <w:jc w:val="both"/>
        <w:rPr>
          <w:rFonts w:eastAsia="Malgun Gothic"/>
          <w:sz w:val="22"/>
          <w:szCs w:val="22"/>
        </w:rPr>
      </w:pPr>
      <w:r w:rsidRPr="00487BC5">
        <w:rPr>
          <w:rFonts w:hint="eastAsia"/>
          <w:b/>
          <w:sz w:val="22"/>
          <w:szCs w:val="22"/>
          <w:lang w:val="en-GB" w:eastAsia="en-US"/>
        </w:rPr>
        <w:t>Proposal 1</w:t>
      </w:r>
      <w:r>
        <w:rPr>
          <w:rFonts w:eastAsia="Malgun Gothic" w:hint="eastAsia"/>
          <w:sz w:val="22"/>
          <w:szCs w:val="22"/>
        </w:rPr>
        <w:t xml:space="preserve">. The </w:t>
      </w:r>
      <w:r>
        <w:rPr>
          <w:rFonts w:eastAsia="Malgun Gothic"/>
          <w:sz w:val="22"/>
          <w:szCs w:val="22"/>
        </w:rPr>
        <w:t xml:space="preserve">attenuation loss due to forest is reflected for evaluations. </w:t>
      </w:r>
    </w:p>
    <w:p w14:paraId="3C67E132" w14:textId="67A250D6" w:rsidR="004552E9" w:rsidRPr="004552E9" w:rsidRDefault="004552E9" w:rsidP="004552E9">
      <w:pPr>
        <w:spacing w:after="240" w:line="276" w:lineRule="auto"/>
        <w:rPr>
          <w:sz w:val="22"/>
          <w:szCs w:val="22"/>
          <w:lang w:val="en-GB" w:eastAsia="en-US"/>
        </w:rPr>
      </w:pPr>
      <w:r w:rsidRPr="004552E9">
        <w:rPr>
          <w:b/>
          <w:sz w:val="22"/>
          <w:szCs w:val="22"/>
          <w:lang w:val="en-GB" w:eastAsia="en-US"/>
        </w:rPr>
        <w:t xml:space="preserve">Proposal </w:t>
      </w:r>
      <w:r w:rsidR="00157A07">
        <w:rPr>
          <w:b/>
          <w:sz w:val="22"/>
          <w:szCs w:val="22"/>
          <w:lang w:val="en-GB" w:eastAsia="en-US"/>
        </w:rPr>
        <w:t>2</w:t>
      </w:r>
      <w:r w:rsidRPr="004552E9">
        <w:rPr>
          <w:sz w:val="22"/>
          <w:szCs w:val="22"/>
          <w:lang w:val="en-GB" w:eastAsia="en-US"/>
        </w:rPr>
        <w:t xml:space="preserve">: </w:t>
      </w:r>
      <w:r>
        <w:rPr>
          <w:sz w:val="22"/>
          <w:szCs w:val="22"/>
          <w:lang w:val="en-GB" w:eastAsia="en-US"/>
        </w:rPr>
        <w:t xml:space="preserve">In open loop power control, </w:t>
      </w:r>
      <w:r w:rsidRPr="004552E9">
        <w:rPr>
          <w:sz w:val="22"/>
          <w:szCs w:val="22"/>
          <w:lang w:val="en-GB" w:eastAsia="en-US"/>
        </w:rPr>
        <w:t>UE should be allowed to predict its own transmission power not only based on DL measurement, e.g., pathloss measurement but also other available information, such as gNB ephemeris and UE trajectory.</w:t>
      </w:r>
    </w:p>
    <w:p w14:paraId="4F3108CB" w14:textId="0DBF7C4A" w:rsidR="00F75D72" w:rsidRPr="004552E9" w:rsidRDefault="004552E9" w:rsidP="00F75D72">
      <w:pPr>
        <w:wordWrap/>
        <w:spacing w:before="60" w:after="60" w:line="288" w:lineRule="auto"/>
        <w:jc w:val="both"/>
        <w:rPr>
          <w:sz w:val="22"/>
          <w:szCs w:val="22"/>
          <w:lang w:val="en-GB"/>
        </w:rPr>
      </w:pPr>
      <w:r w:rsidRPr="004552E9">
        <w:rPr>
          <w:b/>
          <w:sz w:val="22"/>
          <w:szCs w:val="22"/>
          <w:lang w:val="en-GB" w:eastAsia="en-US"/>
        </w:rPr>
        <w:lastRenderedPageBreak/>
        <w:t xml:space="preserve">Proposal </w:t>
      </w:r>
      <w:r w:rsidR="00157A07">
        <w:rPr>
          <w:b/>
          <w:sz w:val="22"/>
          <w:szCs w:val="22"/>
          <w:lang w:val="en-GB" w:eastAsia="en-US"/>
        </w:rPr>
        <w:t>3</w:t>
      </w:r>
      <w:r w:rsidRPr="004552E9">
        <w:rPr>
          <w:sz w:val="22"/>
          <w:szCs w:val="22"/>
          <w:lang w:val="en-GB" w:eastAsia="en-US"/>
        </w:rPr>
        <w:t xml:space="preserve">: Closed loop power control should be </w:t>
      </w:r>
      <w:r>
        <w:rPr>
          <w:sz w:val="22"/>
          <w:szCs w:val="22"/>
          <w:lang w:val="en-GB" w:eastAsia="en-US"/>
        </w:rPr>
        <w:t>supported</w:t>
      </w:r>
      <w:r w:rsidRPr="004552E9">
        <w:rPr>
          <w:sz w:val="22"/>
          <w:szCs w:val="22"/>
          <w:lang w:val="en-GB" w:eastAsia="en-US"/>
        </w:rPr>
        <w:t xml:space="preserve"> in NTN and a mechanism to disable closed loop power control should be considered.</w:t>
      </w:r>
    </w:p>
    <w:p w14:paraId="7CF9AFEE" w14:textId="77777777"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11DF2A43" w14:textId="00FFBF0C" w:rsidR="002A1A45" w:rsidRDefault="00993B62" w:rsidP="00993B62">
      <w:pPr>
        <w:pStyle w:val="2222"/>
        <w:numPr>
          <w:ilvl w:val="0"/>
          <w:numId w:val="13"/>
        </w:numPr>
        <w:spacing w:after="120" w:line="288" w:lineRule="auto"/>
        <w:ind w:left="426" w:firstLineChars="0" w:hanging="426"/>
        <w:rPr>
          <w:rFonts w:eastAsia="MS Mincho"/>
          <w:bCs/>
          <w:sz w:val="22"/>
          <w:szCs w:val="22"/>
          <w:lang w:eastAsia="ja-JP"/>
        </w:rPr>
      </w:pPr>
      <w:r w:rsidRPr="001D75BE">
        <w:rPr>
          <w:rFonts w:eastAsia="MS Mincho"/>
          <w:bCs/>
          <w:sz w:val="22"/>
          <w:szCs w:val="22"/>
          <w:lang w:eastAsia="ja-JP"/>
        </w:rPr>
        <w:t>RP-193144, “Solutions for NR to support non-terrestrial networks (NTN)”.</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2D27C" w14:textId="77777777" w:rsidR="00691CE9" w:rsidRPr="00C47AD2" w:rsidRDefault="00691CE9">
      <w:pPr>
        <w:rPr>
          <w:rFonts w:ascii="Arial" w:hAnsi="Arial"/>
          <w:sz w:val="12"/>
        </w:rPr>
      </w:pPr>
      <w:r>
        <w:separator/>
      </w:r>
    </w:p>
  </w:endnote>
  <w:endnote w:type="continuationSeparator" w:id="0">
    <w:p w14:paraId="70BBD46A" w14:textId="77777777" w:rsidR="00691CE9" w:rsidRPr="00C47AD2" w:rsidRDefault="00691CE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6F556417" w:rsidR="001514D4" w:rsidRDefault="001514D4">
    <w:pPr>
      <w:pStyle w:val="Footer"/>
    </w:pPr>
    <w:r>
      <w:fldChar w:fldCharType="begin"/>
    </w:r>
    <w:r>
      <w:instrText xml:space="preserve"> PAGE   \* MERGEFORMAT </w:instrText>
    </w:r>
    <w:r>
      <w:fldChar w:fldCharType="separate"/>
    </w:r>
    <w:r w:rsidR="000D2B10">
      <w:t>1</w:t>
    </w:r>
    <w:r>
      <w:fldChar w:fldCharType="end"/>
    </w:r>
  </w:p>
  <w:p w14:paraId="45CA142C" w14:textId="77777777"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B970D" w14:textId="77777777" w:rsidR="00691CE9" w:rsidRPr="00C47AD2" w:rsidRDefault="00691CE9">
      <w:pPr>
        <w:rPr>
          <w:rFonts w:ascii="Arial" w:hAnsi="Arial"/>
          <w:sz w:val="12"/>
        </w:rPr>
      </w:pPr>
      <w:r>
        <w:separator/>
      </w:r>
    </w:p>
  </w:footnote>
  <w:footnote w:type="continuationSeparator" w:id="0">
    <w:p w14:paraId="0726B1B1" w14:textId="77777777" w:rsidR="00691CE9" w:rsidRPr="00C47AD2" w:rsidRDefault="00691CE9">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37"/>
  </w:num>
  <w:num w:numId="7">
    <w:abstractNumId w:val="22"/>
  </w:num>
  <w:num w:numId="8">
    <w:abstractNumId w:val="18"/>
  </w:num>
  <w:num w:numId="9">
    <w:abstractNumId w:val="35"/>
  </w:num>
  <w:num w:numId="10">
    <w:abstractNumId w:val="2"/>
  </w:num>
  <w:num w:numId="11">
    <w:abstractNumId w:val="7"/>
  </w:num>
  <w:num w:numId="12">
    <w:abstractNumId w:val="36"/>
  </w:num>
  <w:num w:numId="13">
    <w:abstractNumId w:val="1"/>
  </w:num>
  <w:num w:numId="14">
    <w:abstractNumId w:val="16"/>
  </w:num>
  <w:num w:numId="15">
    <w:abstractNumId w:val="6"/>
  </w:num>
  <w:num w:numId="16">
    <w:abstractNumId w:val="28"/>
  </w:num>
  <w:num w:numId="17">
    <w:abstractNumId w:val="3"/>
  </w:num>
  <w:num w:numId="18">
    <w:abstractNumId w:val="23"/>
  </w:num>
  <w:num w:numId="19">
    <w:abstractNumId w:val="33"/>
  </w:num>
  <w:num w:numId="20">
    <w:abstractNumId w:val="9"/>
  </w:num>
  <w:num w:numId="21">
    <w:abstractNumId w:val="26"/>
  </w:num>
  <w:num w:numId="22">
    <w:abstractNumId w:val="5"/>
  </w:num>
  <w:num w:numId="23">
    <w:abstractNumId w:val="19"/>
  </w:num>
  <w:num w:numId="24">
    <w:abstractNumId w:val="27"/>
  </w:num>
  <w:num w:numId="25">
    <w:abstractNumId w:val="8"/>
  </w:num>
  <w:num w:numId="26">
    <w:abstractNumId w:val="15"/>
  </w:num>
  <w:num w:numId="27">
    <w:abstractNumId w:val="10"/>
  </w:num>
  <w:num w:numId="28">
    <w:abstractNumId w:val="29"/>
  </w:num>
  <w:num w:numId="29">
    <w:abstractNumId w:val="31"/>
  </w:num>
  <w:num w:numId="30">
    <w:abstractNumId w:val="17"/>
  </w:num>
  <w:num w:numId="31">
    <w:abstractNumId w:val="30"/>
  </w:num>
  <w:num w:numId="32">
    <w:abstractNumId w:val="21"/>
  </w:num>
  <w:num w:numId="33">
    <w:abstractNumId w:val="11"/>
  </w:num>
  <w:num w:numId="34">
    <w:abstractNumId w:val="32"/>
  </w:num>
  <w:num w:numId="35">
    <w:abstractNumId w:val="25"/>
  </w:num>
  <w:num w:numId="36">
    <w:abstractNumId w:val="24"/>
  </w:num>
  <w:num w:numId="37">
    <w:abstractNumId w:val="13"/>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styleId="PlaceholderText">
    <w:name w:val="Placeholder Text"/>
    <w:basedOn w:val="DefaultParagraphFont"/>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FF252-1CD9-411F-B678-B254777C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2020-08-06T17:03:00Z</dcterms:created>
  <dcterms:modified xsi:type="dcterms:W3CDTF">2020-08-06T17:03:00Z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